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EC" w:rsidRDefault="003B3FEC" w:rsidP="003B3FEC">
      <w:pPr>
        <w:jc w:val="center"/>
        <w:rPr>
          <w:rFonts w:ascii="Tahoma" w:hAnsi="Tahoma" w:cs="Tahoma"/>
          <w:b/>
          <w:bCs/>
          <w:color w:val="000000"/>
          <w:sz w:val="28"/>
          <w:szCs w:val="28"/>
        </w:rPr>
      </w:pPr>
      <w:r>
        <w:rPr>
          <w:rFonts w:ascii="Tahoma" w:hAnsi="Tahoma" w:cs="Tahoma"/>
          <w:b/>
          <w:bCs/>
          <w:color w:val="000000"/>
          <w:sz w:val="28"/>
          <w:szCs w:val="28"/>
        </w:rPr>
        <w:t xml:space="preserve">Приложение № 2 към чл. 11, ал. 1 </w:t>
      </w:r>
    </w:p>
    <w:p w:rsidR="003B3FEC" w:rsidRDefault="003B3FEC" w:rsidP="003B3FEC">
      <w:pPr>
        <w:jc w:val="center"/>
        <w:rPr>
          <w:rFonts w:ascii="Tahoma" w:hAnsi="Tahoma" w:cs="Tahoma"/>
          <w:b/>
          <w:bCs/>
          <w:color w:val="000000"/>
          <w:sz w:val="28"/>
          <w:szCs w:val="28"/>
        </w:rPr>
      </w:pPr>
      <w:r>
        <w:rPr>
          <w:rFonts w:ascii="Tahoma" w:hAnsi="Tahoma" w:cs="Tahoma"/>
          <w:b/>
          <w:bCs/>
          <w:color w:val="000000"/>
          <w:sz w:val="28"/>
          <w:szCs w:val="28"/>
        </w:rPr>
        <w:t>(Изм. и доп. - ДВ, бр. 30 от 2013 г.)</w:t>
      </w:r>
    </w:p>
    <w:p w:rsidR="003B3FEC" w:rsidRDefault="003B3FEC" w:rsidP="003B3FEC">
      <w:pPr>
        <w:jc w:val="center"/>
        <w:rPr>
          <w:rFonts w:ascii="Tahoma" w:hAnsi="Tahoma" w:cs="Tahoma"/>
          <w:b/>
          <w:bCs/>
          <w:color w:val="000000"/>
          <w:sz w:val="28"/>
          <w:szCs w:val="28"/>
        </w:rPr>
      </w:pPr>
      <w:r>
        <w:rPr>
          <w:rFonts w:ascii="Tahoma" w:hAnsi="Tahoma" w:cs="Tahoma"/>
          <w:b/>
          <w:bCs/>
          <w:color w:val="000000"/>
          <w:sz w:val="28"/>
          <w:szCs w:val="28"/>
        </w:rPr>
        <w:t>Изисквания за изготвяне и изпълнение на плановете за евакуация на обекти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 xml:space="preserve">I. Общи положения </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 С изискванията се определят начинът за изготвяне на плановете за евакуация и тяхното съдържание.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 В зависимост от обитателите сградите се категоризират, както следва: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 Категория на обитателите „А" - когато обитателите са будни при престоя си в сградата. Категориите на обитатели „А" се делят на: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2.1.1. „А1" - когато обитателите са будни, познават добре сградата и постоянно я обитават (сгради от подкласове на функционална пожарна опасност Ф5.1 и Ф4.1);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2.1.2. „А2" - когато обитателите са будни, но не познават добре сградата (лечебни заведения за извънболнична помощ, обществени трапезарии, центрове за обществена подкрепа, дневни центрове (без възможност за преспиване) и сгради от клас на функционална пожарна опасност Ф3 и от подкласове Ф2.1, Ф2.2, Ф4.2 и Ф5.2).</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2.2. Категория на обитателите „Б" - когато обитателите не са будни през целия си престой в сградата (хотели, общежития, сгради за обществено обслужване в областта на здравеопазването, сгради за обществено обслужване в областта на социалните услуги и други от подкласове на функционална пожарна опасност Ф1.1 и Ф1.2). Категориите на обитатели „Б" се делят на: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2.2.1. „Б1" - когато обитателите не са пос-тоянно будни, но познават сградата, и те не са попаднали случайно в сградата (центрове за настаняване от семеен тип, центрове за временно настаняване, кризисни центрове, преходни жилища, защитени жилища, наблюдавани жилища, приюти, звена „Майка и бебе", дневни центрове (с възможност за преспиване), центрове за работа с деца на улицата, домове за деца, лишени от родителска грижа, домове за стари хора и др.);</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2.2.2. „Б2" - когато обитателите не са постоянно будни и не познават сградата и те може да са попаднали случайно в сградата (хотели, лечебни заведения и лечебни заведения за болнична помощ (които не попадат в т. 2.3), почивни станции и др.).</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 Категория на обитателите „В" - отнася се за обитатели, за които са необходими помощ или специални грижи за евакуацията им (детски заведения, затвори, психиатрични заведения, лечебни заведения, лечебни заведения за болнична помощ, домове за деца с физически увреждания, домове за деца с умствена изостаналост, домове за възрастни хора с умствена изостаналост, домове за възрастни хора с психични разстройства, домове за възрастни хора с физически увреждания, домове за възрастни хора със сетивни нарушения, дом за възрастни хора с деменция, трудно подвижни хора и др.). Категориите на обитатели „В" се делят на: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2.3.1. „В1" - когато обитателите могат сами да се евакуират;</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 „В2" - когато обитателите задължително трябва да бъдат евакуирани с помощта на обслужващ персонал;</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2.3.3. „В3" - когато обитателите задължително трябва да бъдат евакуирани с помощна апаратура (животоподдържаща).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II. Съдържание на плановете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 Плановете за евакуация задължително съдържат текстова и графична част.</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1.1. Текстовата част включва действията на персонала, които се описват подробно.</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1.2. Графичната част (схемите за евакуация) съдържа: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lastRenderedPageBreak/>
        <w:t>1.2.1. хоризонталните разпределения на всеки един етаж на сградата с нанесени всички знаци (символи) съгласно т. 13.1;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1.2.2. ситуационен план на обекта със сборния(те) пункт(ове).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 Текстово съдържание на плановете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 Текстовата част на плановете за евакуация съдържа: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2.1.1. класовете по функционална пожарна опасност на всички помещения в обекта;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2.1.2. категорията на сградите в зависимост от обитателите;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2.1.3. подробно описание и последователността на действията на работещите;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2.1.4. подробно описание на задълженията на работещите - по длъжности или персонално-лично.</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2.2. Текстовата част за действията на работещите се поставя на видни места в помещенията на работещите (контролно-пропускателен пункт, пропуск, помещения на длъжностните лица, които създават организация и осъществяват контрол за спазване на правилата и нормите за ПБ, и др.).</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 Текстовата част за действията на работещите се изготвя, както следва: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2.3.1. В табличен вид: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95"/>
        <w:gridCol w:w="1905"/>
        <w:gridCol w:w="1905"/>
        <w:gridCol w:w="1361"/>
        <w:gridCol w:w="801"/>
      </w:tblGrid>
      <w:tr w:rsidR="003B3FEC" w:rsidTr="007B43BB">
        <w:tc>
          <w:tcPr>
            <w:tcW w:w="495"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 по ред </w:t>
            </w:r>
          </w:p>
        </w:tc>
        <w:tc>
          <w:tcPr>
            <w:tcW w:w="135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Наименование на действията </w:t>
            </w:r>
          </w:p>
        </w:tc>
        <w:tc>
          <w:tcPr>
            <w:tcW w:w="93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Ред и последователност на действията </w:t>
            </w:r>
          </w:p>
        </w:tc>
        <w:tc>
          <w:tcPr>
            <w:tcW w:w="81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Отговорник/ длъжност на изпълнителя </w:t>
            </w:r>
          </w:p>
        </w:tc>
        <w:tc>
          <w:tcPr>
            <w:tcW w:w="795"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Подпис </w:t>
            </w:r>
          </w:p>
        </w:tc>
      </w:tr>
      <w:tr w:rsidR="003B3FEC" w:rsidTr="007B43BB">
        <w:tc>
          <w:tcPr>
            <w:tcW w:w="4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1.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Уведомяване на телефон 112, ръководителя на обекта (отговорника по ПБ) и на хората в сградата за възникнал пожар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2.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Организиране на евакуацията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3.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Евакуация – </w:t>
            </w:r>
          </w:p>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последователност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95" w:type="dxa"/>
            <w:vMerge w:val="restart"/>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4.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Евакуация при особени обстоятелства: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0" w:type="auto"/>
            <w:vMerge/>
            <w:vAlign w:val="center"/>
          </w:tcPr>
          <w:p w:rsidR="003B3FEC" w:rsidRPr="00737882" w:rsidRDefault="003B3FEC" w:rsidP="007B43BB">
            <w:pPr>
              <w:rPr>
                <w:rFonts w:ascii="Tahoma" w:hAnsi="Tahoma" w:cs="Tahoma"/>
                <w:color w:val="000000"/>
                <w:sz w:val="22"/>
                <w:szCs w:val="22"/>
              </w:rPr>
            </w:pP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 при силно задимена обстановка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0" w:type="auto"/>
            <w:vMerge/>
            <w:vAlign w:val="center"/>
          </w:tcPr>
          <w:p w:rsidR="003B3FEC" w:rsidRPr="00737882" w:rsidRDefault="003B3FEC" w:rsidP="007B43BB">
            <w:pPr>
              <w:rPr>
                <w:rFonts w:ascii="Tahoma" w:hAnsi="Tahoma" w:cs="Tahoma"/>
                <w:color w:val="000000"/>
                <w:sz w:val="22"/>
                <w:szCs w:val="22"/>
              </w:rPr>
            </w:pP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 през нощта, в извънработно време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0" w:type="auto"/>
            <w:vMerge/>
            <w:vAlign w:val="center"/>
          </w:tcPr>
          <w:p w:rsidR="003B3FEC" w:rsidRPr="00737882" w:rsidRDefault="003B3FEC" w:rsidP="007B43BB">
            <w:pPr>
              <w:rPr>
                <w:rFonts w:ascii="Tahoma" w:hAnsi="Tahoma" w:cs="Tahoma"/>
                <w:color w:val="000000"/>
                <w:sz w:val="22"/>
                <w:szCs w:val="22"/>
              </w:rPr>
            </w:pP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 през зимата (да се организира пункт за настаняване на евакуираните)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0" w:type="auto"/>
            <w:vMerge/>
            <w:vAlign w:val="center"/>
          </w:tcPr>
          <w:p w:rsidR="003B3FEC" w:rsidRPr="00737882" w:rsidRDefault="003B3FEC" w:rsidP="007B43BB">
            <w:pPr>
              <w:rPr>
                <w:rFonts w:ascii="Tahoma" w:hAnsi="Tahoma" w:cs="Tahoma"/>
                <w:color w:val="000000"/>
                <w:sz w:val="22"/>
                <w:szCs w:val="22"/>
              </w:rPr>
            </w:pP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 при опасност от разлив на ЛЗТ и ГТ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0" w:type="auto"/>
            <w:vMerge/>
            <w:vAlign w:val="center"/>
          </w:tcPr>
          <w:p w:rsidR="003B3FEC" w:rsidRPr="00737882" w:rsidRDefault="003B3FEC" w:rsidP="007B43BB">
            <w:pPr>
              <w:rPr>
                <w:rFonts w:ascii="Tahoma" w:hAnsi="Tahoma" w:cs="Tahoma"/>
                <w:color w:val="000000"/>
                <w:sz w:val="22"/>
                <w:szCs w:val="22"/>
              </w:rPr>
            </w:pP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 други възможни за конкретния обект обстоятелства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5.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Пожарогасене – действия за гасене на пожара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6.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Спасяване или защита на имущество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7. </w:t>
            </w:r>
          </w:p>
        </w:tc>
        <w:tc>
          <w:tcPr>
            <w:tcW w:w="135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Посрещане на служителите от органите за ПБЗН </w:t>
            </w:r>
          </w:p>
        </w:tc>
        <w:tc>
          <w:tcPr>
            <w:tcW w:w="93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81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c>
          <w:tcPr>
            <w:tcW w:w="795"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1845" w:type="dxa"/>
            <w:gridSpan w:val="2"/>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Кратко описание на недопустимите за използване маршрути и неправилните действия  при евакуация (за конкретния обект) </w:t>
            </w:r>
          </w:p>
        </w:tc>
        <w:tc>
          <w:tcPr>
            <w:tcW w:w="2535"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1845" w:type="dxa"/>
            <w:gridSpan w:val="2"/>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Проверяващи лица от персонала за успешно проведена евакуация – дали всички от определения им район (помещение, отдел, цех, етаж и др.) са го напуснали </w:t>
            </w:r>
          </w:p>
        </w:tc>
        <w:tc>
          <w:tcPr>
            <w:tcW w:w="2535"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1. </w:t>
            </w:r>
          </w:p>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2. </w:t>
            </w:r>
          </w:p>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3. </w:t>
            </w:r>
          </w:p>
        </w:tc>
      </w:tr>
    </w:tbl>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Забележки: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 В зависимост от спецификата на обекта в таблицата може да бъде включена допълнително информация по отношение на мерките за осигуряване на ПБ, използване на системите за подпомагане на евакуацията, отговорности и др.</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 Задълженията на всички от персонала на обекта се разпределят така, че да се осигурят едновременно действията им, без да има противоречие в тях.</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 Описателна част:</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2.3.2.1. За сгради от подкласове на функционална пожарна опасност Ф3.4, Ф4.2 и Ф5.1: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2.3.2.1.1. численост на персонала, конкретни задължения на лицата, отговорни за евакуацията на обекта, и действия при особени обстоятелства;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2.3.2.1.2. максимална численост на работещите;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2.3.2.1.3. обща численост на хората, пребиваващи на всеки етаж и във всяко помещение.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lastRenderedPageBreak/>
        <w:t>2.3.2.2. За сгради от подкласове на функционална пожарна опасност Ф1.1, Ф1.2 и Ф4.1: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2.3.2.2.1. численост на персонала, конкретни задължения на лицата, отговорни за евакуацията на обекта, и действия при особени обстоятелства;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2.3.2.2.2. максимална численост на посетителите;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2.3.2.2.3. численост на персонала на всеки етаж и максимален брой на посетителите на всеки етаж, а при необходимост - и във всяко помещение.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2.3.2.3 За сгради от подкласове на функционална пожарна опасност Ф2.1, Ф2.2, Ф3.1, Ф3.2, Ф3.3 и Ф3.5):</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2.3.2.3.1. численост на персонала, конкретни задължения на лицата, отговорни за евакуацията на обекта, и действия при особени обстоятелства;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2.3.2.3.2. максимална численост на пребиваващите или свободна площ;</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2.3.2.3.3. численост на персонала на всеки етаж и максимален брой на посетители на всеки етаж, а при необходимост - и във всяко помещение.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III. Съдържание на графичната част (схемите за евакуация) на плановете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 Всяка схема за евакуация съдържа: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1.1. Графично изображение на етажа (хоризонтално разпределение - вътрешна планировка) или на част от него.</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1.2. Графично изображение на ситуационен план.</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1.3. Нанесен знак „Мястото, където се намирате".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1.4. Знаци съгласно т. 13.1.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1.5. Легенда с използваните знаци.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1.6. Обозначение за кой обект, адрес, сграда, етаж, цех се отнася схемата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1.7. Последователност на действията при пожар (минимално необходимите действия) за гледащия схемата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1.8. Кратко описание на мерките за безопасност при евакуация - за евакуация от помещения на обекти с категории на обитатели „Б" и „В".</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2. Схемите за евакуация в сгради, в които пребивават чужденци (хотели и др.), се изготвят задължително и на английски език.</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3. При поставяне на лого или на табела с телефонния номер на фирмата, изготвила схемата за евакуация, или на собствениците на обекта същите се разполагат така, че да няма възможност за двусмисленото им възприемане.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4. С оглед правилно ориентиране от схемата за евакуация следва да се спазва следната последователност:</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4.1. Определят се местата, където ще се поставя всяка една схема за евакуация, и всяка графична част се чертае спрямо това място.</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4.2. Ориентацията на символа „Мястото, където се намирате в момента" се нанася спрямо мястото, където стои гледащият схемата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5. Графичното изображение на етажа по т. 1.1 съдържа: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5.1. хоризонталното разпределение (вътрешна планировка) на целия етаж на схемата с нанесени: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а) всички помещения и врати и посоката на отварянето им;</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б) технологично оборудване и обзавеждане - за помещения и сгради от подкласове на функционална пожарна опасност Ф5.1;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в) обзавеждане на стаите - за обекти от клас на функционална пожарна опасност Ф4 и от подкласове Ф1.1, Ф1.2 и Ф3.4;</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lastRenderedPageBreak/>
        <w:t>г) изложбени площи и евакуационни пътеки - в обекти от подкласове на функционална пожарна опасност Ф2.1, Ф2.2, Ф3.1, Ф3.2, Ф3.3 и Ф3.5.</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5.2. Задължително е да се открояват елементите на строителните конструкции от оборудването в обекта.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5.3. За графичното изображение на етажа се използват дадените в табл. 1 цветове и минимални дебелини.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34"/>
        <w:gridCol w:w="4260"/>
        <w:gridCol w:w="2040"/>
        <w:gridCol w:w="720"/>
        <w:gridCol w:w="1890"/>
      </w:tblGrid>
      <w:tr w:rsidR="003B3FEC" w:rsidTr="007B43BB">
        <w:tc>
          <w:tcPr>
            <w:tcW w:w="420" w:type="dxa"/>
            <w:vMerge w:val="restart"/>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 по ред </w:t>
            </w:r>
          </w:p>
        </w:tc>
        <w:tc>
          <w:tcPr>
            <w:tcW w:w="4260" w:type="dxa"/>
            <w:vMerge w:val="restart"/>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Наименование </w:t>
            </w:r>
          </w:p>
        </w:tc>
        <w:tc>
          <w:tcPr>
            <w:tcW w:w="2760" w:type="dxa"/>
            <w:gridSpan w:val="2"/>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Обозначение </w:t>
            </w:r>
          </w:p>
        </w:tc>
        <w:tc>
          <w:tcPr>
            <w:tcW w:w="1890" w:type="dxa"/>
            <w:vMerge w:val="restart"/>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Дебелина на линията, mm </w:t>
            </w:r>
          </w:p>
        </w:tc>
      </w:tr>
      <w:tr w:rsidR="003B3FEC" w:rsidTr="007B43BB">
        <w:tc>
          <w:tcPr>
            <w:tcW w:w="0" w:type="auto"/>
            <w:vMerge/>
            <w:vAlign w:val="center"/>
          </w:tcPr>
          <w:p w:rsidR="003B3FEC" w:rsidRPr="00737882" w:rsidRDefault="003B3FEC" w:rsidP="007B43BB">
            <w:pPr>
              <w:rPr>
                <w:rFonts w:ascii="Tahoma" w:hAnsi="Tahoma" w:cs="Tahoma"/>
                <w:color w:val="000000"/>
                <w:sz w:val="22"/>
                <w:szCs w:val="22"/>
              </w:rPr>
            </w:pPr>
          </w:p>
        </w:tc>
        <w:tc>
          <w:tcPr>
            <w:tcW w:w="0" w:type="auto"/>
            <w:vMerge/>
            <w:vAlign w:val="center"/>
          </w:tcPr>
          <w:p w:rsidR="003B3FEC" w:rsidRPr="00737882" w:rsidRDefault="003B3FEC" w:rsidP="007B43BB">
            <w:pPr>
              <w:rPr>
                <w:rFonts w:ascii="Tahoma" w:hAnsi="Tahoma" w:cs="Tahoma"/>
                <w:color w:val="000000"/>
                <w:sz w:val="22"/>
                <w:szCs w:val="22"/>
              </w:rPr>
            </w:pPr>
          </w:p>
        </w:tc>
        <w:tc>
          <w:tcPr>
            <w:tcW w:w="204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цвят </w:t>
            </w:r>
          </w:p>
        </w:tc>
        <w:tc>
          <w:tcPr>
            <w:tcW w:w="72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 </w:t>
            </w:r>
          </w:p>
        </w:tc>
        <w:tc>
          <w:tcPr>
            <w:tcW w:w="0" w:type="auto"/>
            <w:vMerge/>
            <w:vAlign w:val="center"/>
          </w:tcPr>
          <w:p w:rsidR="003B3FEC" w:rsidRPr="00737882" w:rsidRDefault="003B3FEC" w:rsidP="007B43BB">
            <w:pPr>
              <w:rPr>
                <w:rFonts w:ascii="Tahoma" w:hAnsi="Tahoma" w:cs="Tahoma"/>
                <w:color w:val="000000"/>
                <w:sz w:val="22"/>
                <w:szCs w:val="22"/>
              </w:rPr>
            </w:pP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1.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Помещения, стени, коридори </w:t>
            </w:r>
          </w:p>
        </w:tc>
        <w:tc>
          <w:tcPr>
            <w:tcW w:w="204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черен </w:t>
            </w:r>
          </w:p>
        </w:tc>
        <w:tc>
          <w:tcPr>
            <w:tcW w:w="72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100 </w:t>
            </w:r>
          </w:p>
        </w:tc>
        <w:tc>
          <w:tcPr>
            <w:tcW w:w="189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0,7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2.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Врати, прозорци </w:t>
            </w:r>
          </w:p>
        </w:tc>
        <w:tc>
          <w:tcPr>
            <w:tcW w:w="204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черен </w:t>
            </w:r>
          </w:p>
        </w:tc>
        <w:tc>
          <w:tcPr>
            <w:tcW w:w="72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80 </w:t>
            </w:r>
          </w:p>
        </w:tc>
        <w:tc>
          <w:tcPr>
            <w:tcW w:w="189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0,5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3.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Технология – обзавеждане на помещенията </w:t>
            </w:r>
          </w:p>
        </w:tc>
        <w:tc>
          <w:tcPr>
            <w:tcW w:w="204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черен </w:t>
            </w:r>
          </w:p>
        </w:tc>
        <w:tc>
          <w:tcPr>
            <w:tcW w:w="72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60 </w:t>
            </w:r>
          </w:p>
        </w:tc>
        <w:tc>
          <w:tcPr>
            <w:tcW w:w="1890" w:type="dxa"/>
          </w:tcPr>
          <w:p w:rsidR="003B3FEC" w:rsidRPr="00737882" w:rsidRDefault="003B3FEC" w:rsidP="007B43BB">
            <w:pPr>
              <w:pStyle w:val="htcenter"/>
              <w:rPr>
                <w:rFonts w:ascii="Tahoma" w:hAnsi="Tahoma" w:cs="Tahoma"/>
                <w:color w:val="000000"/>
                <w:sz w:val="22"/>
                <w:szCs w:val="22"/>
              </w:rPr>
            </w:pPr>
            <w:r w:rsidRPr="00737882">
              <w:rPr>
                <w:rFonts w:ascii="Tahoma" w:hAnsi="Tahoma" w:cs="Tahoma"/>
                <w:color w:val="000000"/>
                <w:sz w:val="22"/>
                <w:szCs w:val="22"/>
              </w:rPr>
              <w:t xml:space="preserve">0,35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4.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Защитен евакуационен път* </w:t>
            </w:r>
          </w:p>
        </w:tc>
        <w:tc>
          <w:tcPr>
            <w:tcW w:w="4650"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светлозелен контур със „стрелки за евакуация“ с плътен зелен цвят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5.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Евакуационен път </w:t>
            </w:r>
          </w:p>
        </w:tc>
        <w:tc>
          <w:tcPr>
            <w:tcW w:w="4650"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5.1.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В сгради от клас Ф2 и от подкласове Ф3.1, Ф3.2, Ф3.3 и Ф3.5 </w:t>
            </w:r>
          </w:p>
        </w:tc>
        <w:tc>
          <w:tcPr>
            <w:tcW w:w="4650" w:type="dxa"/>
            <w:gridSpan w:val="3"/>
            <w:vMerge w:val="restart"/>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зелен цвят – оста на евакуационния път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5.2.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В помещение от подклас Ф5.1 </w:t>
            </w:r>
          </w:p>
        </w:tc>
        <w:tc>
          <w:tcPr>
            <w:tcW w:w="0" w:type="auto"/>
            <w:gridSpan w:val="3"/>
            <w:vMerge/>
            <w:vAlign w:val="center"/>
          </w:tcPr>
          <w:p w:rsidR="003B3FEC" w:rsidRPr="00737882" w:rsidRDefault="003B3FEC" w:rsidP="007B43BB">
            <w:pPr>
              <w:rPr>
                <w:rFonts w:ascii="Tahoma" w:hAnsi="Tahoma" w:cs="Tahoma"/>
                <w:color w:val="000000"/>
                <w:sz w:val="22"/>
                <w:szCs w:val="22"/>
              </w:rPr>
            </w:pP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5.3.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В сгради от клас Ф4 и от подклас 3.4 </w:t>
            </w:r>
          </w:p>
        </w:tc>
        <w:tc>
          <w:tcPr>
            <w:tcW w:w="4650"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съгласно т. 13.1 – „стрелки за евакуация“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5.4.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В сгради от подкласове Ф1.1 и Ф1.2 </w:t>
            </w:r>
          </w:p>
        </w:tc>
        <w:tc>
          <w:tcPr>
            <w:tcW w:w="4650"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със зелен цвят – оста на евакуационния път съгласно т. 13.1 – „стрелки за евакуация“ </w:t>
            </w:r>
          </w:p>
        </w:tc>
      </w:tr>
      <w:tr w:rsidR="003B3FEC" w:rsidTr="007B43BB">
        <w:tc>
          <w:tcPr>
            <w:tcW w:w="42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6. </w:t>
            </w:r>
          </w:p>
        </w:tc>
        <w:tc>
          <w:tcPr>
            <w:tcW w:w="4260" w:type="dxa"/>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Знаци съгласно т. 13.1 </w:t>
            </w:r>
          </w:p>
        </w:tc>
        <w:tc>
          <w:tcPr>
            <w:tcW w:w="4650" w:type="dxa"/>
            <w:gridSpan w:val="3"/>
          </w:tcPr>
          <w:p w:rsidR="003B3FEC" w:rsidRPr="00737882" w:rsidRDefault="003B3FEC" w:rsidP="007B43BB">
            <w:pPr>
              <w:pStyle w:val="htleft"/>
              <w:rPr>
                <w:rFonts w:ascii="Tahoma" w:hAnsi="Tahoma" w:cs="Tahoma"/>
                <w:color w:val="000000"/>
                <w:sz w:val="22"/>
                <w:szCs w:val="22"/>
              </w:rPr>
            </w:pPr>
            <w:r w:rsidRPr="00737882">
              <w:rPr>
                <w:rFonts w:ascii="Tahoma" w:hAnsi="Tahoma" w:cs="Tahoma"/>
                <w:color w:val="000000"/>
                <w:sz w:val="22"/>
                <w:szCs w:val="22"/>
              </w:rPr>
              <w:t xml:space="preserve">Цветове съгласно т. 13.1 </w:t>
            </w:r>
          </w:p>
        </w:tc>
      </w:tr>
    </w:tbl>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 Съгласно БДС ISO 8421-6.</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6. Във всички схеми за евакуация се обозначава технологичното обзавеждане:</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6.1. за обекти от подклас на функционална пожарна опасност Ф5.1 освен технологичното обзавеждане се надписват и помещенията по тяхното предназначение (производствен цех, монтажен участък, бояджийно, склад, котелно, компресорно, заваръчно и др.);</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6.2. за обекти от клас на функционална пожарна опасност Ф4 и от подкласове Ф1.1, Ф1.2 и Ф3.4 се допуска да е нанесен само номерът на всяка стая, а не обзавеждането, при условие че стаите са малки и в една стая (помещение) не пребивават едновременно повече от 15 души.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7. На схемата за евакуация се изисква задължително да има ситуационен план при: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7.1. повече от една сграда в обекта;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7.2. разделянето на един етаж от сградата на няколко схеми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7.3. наличието на повече от един сборен пункт за обекта.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8. Изисквания към графичното съдържание на ситуационния план:</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8.1. задължително се изобразяват съседните сгради и съоръжения до сградата за евакуация, пътища, алеи, знаци „Сборен пункт", водоеми, пожарни хидранти;</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8.2. знаци съгласно т. 13.1;</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8.3. ориентацията на схемата за евакуация (посоката север) на хоризонталното разпределение на съответния етаж и на ситуационния план е в една посока;</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lastRenderedPageBreak/>
        <w:t>8.4. задължително се защрихова помещението (сградата или част от сградата) от ситуационния план, за което се отнася схемата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9. При достатъчно голям обект (в който пребивават много хора), където се изисква или е целесъобразно да има повече от един сборен пункт, се нанася един символ за сборен пункт, само този, който се отнася за мястото (сградата, етажа, цеха, помещението), където се намира схемата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10. Графичните изображения на схемата за евакуация следва да са ясно разбираеми и нанесени в подходящ мащаб.</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11. При невъзможност да бъде изобразен в мащаб целият етаж от сградата се допуска изобразяване на част от етажа (където се намират евакуиращите се) в приетия достатъчно уедрен мащаб, който дава възможност за нанасяне на всички необходими символи с минимално изискващите се размери. На същата схема се нанася в по-малък мащаб цялото разпределение на етажа, като се означава частта от него, която е показана с уедрен мащаб.</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12. Схемите за евакуация се поставят в съответствие с изискванията на чл. 11, ал. 5 и 6.</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13. Изисквания към символите (знаците) и схемите за евакуация:</w:t>
      </w:r>
    </w:p>
    <w:p w:rsidR="003B3FEC" w:rsidRDefault="003B3FEC" w:rsidP="003B3FEC">
      <w:pPr>
        <w:ind w:firstLine="480"/>
        <w:jc w:val="both"/>
        <w:rPr>
          <w:rFonts w:ascii="Tahoma" w:hAnsi="Tahoma" w:cs="Tahoma"/>
          <w:color w:val="000000"/>
          <w:sz w:val="22"/>
          <w:szCs w:val="22"/>
        </w:rPr>
      </w:pPr>
      <w:r>
        <w:rPr>
          <w:rFonts w:ascii="Tahoma" w:hAnsi="Tahoma" w:cs="Tahoma"/>
          <w:color w:val="000000"/>
          <w:sz w:val="22"/>
          <w:szCs w:val="22"/>
        </w:rPr>
        <w:t>13.1. В схемите за евакуация се използват знаци (символи) съгласно Наредба № РД-07/8 от 2008 г. за минималните изисквания за знаци и сигнали за безопасност и/или здраве при работа и табл. 2. За обозначаване на главното електрическо табло и на етажните електрически табла се използва знак „Опасност! Високо напрежение" съгласно Наредба № РД-07/8 от 2008 г. за минималните изисквания за знаци и сигнали за безопасност и/или здраве при работа.</w:t>
      </w:r>
    </w:p>
    <w:p w:rsidR="00D80EE6" w:rsidRDefault="00D80EE6">
      <w:bookmarkStart w:id="0" w:name="_GoBack"/>
      <w:bookmarkEnd w:id="0"/>
    </w:p>
    <w:sectPr w:rsidR="00D80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EC"/>
    <w:rsid w:val="003B3FEC"/>
    <w:rsid w:val="00D8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EC"/>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left">
    <w:name w:val="htleft"/>
    <w:basedOn w:val="Normal"/>
    <w:rsid w:val="003B3FEC"/>
    <w:pPr>
      <w:spacing w:before="100" w:beforeAutospacing="1" w:after="100" w:afterAutospacing="1"/>
    </w:pPr>
  </w:style>
  <w:style w:type="paragraph" w:customStyle="1" w:styleId="htcenter">
    <w:name w:val="htcenter"/>
    <w:basedOn w:val="Normal"/>
    <w:rsid w:val="003B3FEC"/>
    <w:pP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EC"/>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left">
    <w:name w:val="htleft"/>
    <w:basedOn w:val="Normal"/>
    <w:rsid w:val="003B3FEC"/>
    <w:pPr>
      <w:spacing w:before="100" w:beforeAutospacing="1" w:after="100" w:afterAutospacing="1"/>
    </w:pPr>
  </w:style>
  <w:style w:type="paragraph" w:customStyle="1" w:styleId="htcenter">
    <w:name w:val="htcenter"/>
    <w:basedOn w:val="Normal"/>
    <w:rsid w:val="003B3FEC"/>
    <w:pP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2013-11-27T12:48:00Z</dcterms:created>
  <dcterms:modified xsi:type="dcterms:W3CDTF">2013-11-27T12:49:00Z</dcterms:modified>
</cp:coreProperties>
</file>